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Five College Mentored Persian Study Guide 53</w:t>
      </w:r>
    </w:p>
    <w:p w:rsidR="00000000" w:rsidDel="00000000" w:rsidP="00000000" w:rsidRDefault="00000000" w:rsidRPr="00000000" w14:paraId="00000002">
      <w:pPr>
        <w:pStyle w:val="Subtitle"/>
        <w:rPr/>
      </w:pPr>
      <w:r w:rsidDel="00000000" w:rsidR="00000000" w:rsidRPr="00000000">
        <w:rPr>
          <w:rtl w:val="0"/>
        </w:rPr>
        <w:t xml:space="preserve">Five College Center for World Languages</w:t>
      </w:r>
    </w:p>
    <w:p w:rsidR="00000000" w:rsidDel="00000000" w:rsidP="00000000" w:rsidRDefault="00000000" w:rsidRPr="00000000" w14:paraId="00000003">
      <w:pPr>
        <w:pStyle w:val="Subtitle"/>
        <w:rPr/>
      </w:pPr>
      <w:r w:rsidDel="00000000" w:rsidR="00000000" w:rsidRPr="00000000">
        <w:rPr>
          <w:rtl w:val="0"/>
        </w:rPr>
        <w:t xml:space="preserve">Updated: July 2021</w:t>
      </w:r>
    </w:p>
    <w:p w:rsidR="00000000" w:rsidDel="00000000" w:rsidP="00000000" w:rsidRDefault="00000000" w:rsidRPr="00000000" w14:paraId="00000004">
      <w:pPr>
        <w:pStyle w:val="Heading1"/>
        <w:rPr/>
      </w:pPr>
      <w:r w:rsidDel="00000000" w:rsidR="00000000" w:rsidRPr="00000000">
        <w:rPr>
          <w:rtl w:val="0"/>
        </w:rPr>
        <w:t xml:space="preserve">Study Goals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Memorization and active use of new vocabulary.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Understanding of and ability to: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discuss new dialogue.</w:t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use special transitive verbs.</w:t>
      </w:r>
    </w:p>
    <w:p w:rsidR="00000000" w:rsidDel="00000000" w:rsidP="00000000" w:rsidRDefault="00000000" w:rsidRPr="00000000" w14:paraId="00000009">
      <w:pPr>
        <w:numPr>
          <w:ilvl w:val="1"/>
          <w:numId w:val="3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use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reflexive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pronoun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0"/>
        </w:rPr>
        <w:t xml:space="preserve">”.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Completion of </w:t>
      </w:r>
      <w:r w:rsidDel="00000000" w:rsidR="00000000" w:rsidRPr="00000000">
        <w:rPr>
          <w:i w:val="1"/>
          <w:rtl w:val="0"/>
        </w:rPr>
        <w:t xml:space="preserve">Learning Persian</w:t>
      </w:r>
      <w:r w:rsidDel="00000000" w:rsidR="00000000" w:rsidRPr="00000000">
        <w:rPr>
          <w:rtl w:val="0"/>
        </w:rPr>
        <w:t xml:space="preserve">, Book One, Lesson 13.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Completion of GLOSS Lesson, </w:t>
      </w:r>
      <w:r w:rsidDel="00000000" w:rsidR="00000000" w:rsidRPr="00000000">
        <w:rPr>
          <w:i w:val="1"/>
          <w:rtl w:val="0"/>
        </w:rPr>
        <w:t xml:space="preserve">‘Geography of Iran’s Northern Province’</w:t>
      </w:r>
      <w:r w:rsidDel="00000000" w:rsidR="00000000" w:rsidRPr="00000000">
        <w:rPr>
          <w:rtl w:val="0"/>
        </w:rPr>
        <w:t xml:space="preserve">, (Persian, Geography, Level 1).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Materials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Textbooks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before="28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Learning Persian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], Book One</w:t>
      </w:r>
    </w:p>
    <w:p w:rsidR="00000000" w:rsidDel="00000000" w:rsidP="00000000" w:rsidRDefault="00000000" w:rsidRPr="00000000" w14:paraId="0000000F">
      <w:pPr>
        <w:numPr>
          <w:ilvl w:val="1"/>
          <w:numId w:val="4"/>
        </w:numPr>
        <w:spacing w:before="0" w:lineRule="auto"/>
        <w:ind w:left="1440" w:hanging="360"/>
        <w:rPr/>
      </w:pPr>
      <w:r w:rsidDel="00000000" w:rsidR="00000000" w:rsidRPr="00000000">
        <w:rPr>
          <w:rtl w:val="0"/>
        </w:rPr>
        <w:t xml:space="preserve">Lesson 13, pp.105-110.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spacing w:before="0" w:lineRule="auto"/>
        <w:ind w:left="144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Grammar Section 13, pp 166.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before="0" w:lineRule="auto"/>
        <w:ind w:left="720" w:hanging="360"/>
        <w:rPr/>
      </w:pPr>
      <w:r w:rsidDel="00000000" w:rsidR="00000000" w:rsidRPr="00000000">
        <w:rPr>
          <w:i w:val="1"/>
          <w:rtl w:val="0"/>
        </w:rPr>
        <w:t xml:space="preserve">Persian Grammar</w:t>
      </w:r>
      <w:r w:rsidDel="00000000" w:rsidR="00000000" w:rsidRPr="00000000">
        <w:rPr>
          <w:rtl w:val="0"/>
        </w:rPr>
        <w:t xml:space="preserve"> [</w:t>
      </w:r>
      <w:r w:rsidDel="00000000" w:rsidR="00000000" w:rsidRPr="00000000">
        <w:rPr>
          <w:i w:val="1"/>
          <w:rtl w:val="0"/>
        </w:rPr>
        <w:t xml:space="preserve">PG</w:t>
      </w:r>
      <w:r w:rsidDel="00000000" w:rsidR="00000000" w:rsidRPr="00000000">
        <w:rPr>
          <w:rtl w:val="0"/>
        </w:rPr>
        <w:t xml:space="preserve">], pp 71-72.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 passage about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Tabriz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1"/>
        </w:rPr>
        <w:t xml:space="preserve">تبریز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), supplementary materials.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rPr/>
      </w:pPr>
      <w:r w:rsidDel="00000000" w:rsidR="00000000" w:rsidRPr="00000000">
        <w:rPr>
          <w:rtl w:val="0"/>
        </w:rPr>
        <w:t xml:space="preserve">Multimedia Material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before="120" w:lineRule="auto"/>
        <w:ind w:left="720" w:hanging="360"/>
        <w:rPr/>
      </w:pPr>
      <w:r w:rsidDel="00000000" w:rsidR="00000000" w:rsidRPr="00000000">
        <w:rPr>
          <w:rtl w:val="0"/>
        </w:rPr>
        <w:t xml:space="preserve">GLOSS</w:t>
      </w:r>
      <w:r w:rsidDel="00000000" w:rsidR="00000000" w:rsidRPr="00000000">
        <w:rPr>
          <w:i w:val="1"/>
          <w:rtl w:val="0"/>
        </w:rPr>
        <w:t xml:space="preserve">: ‘Geography of Iran’s Northern Province’</w:t>
      </w:r>
      <w:r w:rsidDel="00000000" w:rsidR="00000000" w:rsidRPr="00000000">
        <w:rPr>
          <w:rtl w:val="0"/>
        </w:rPr>
        <w:t xml:space="preserve">, (Persian, Geography, Level 1) </w:t>
      </w:r>
    </w:p>
    <w:p w:rsidR="00000000" w:rsidDel="00000000" w:rsidP="00000000" w:rsidRDefault="00000000" w:rsidRPr="00000000" w14:paraId="00000015">
      <w:pPr>
        <w:spacing w:before="120" w:lineRule="auto"/>
        <w:ind w:left="720" w:firstLine="0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https://gloss.dliflc.edu/LessonViewer.aspx?lessonId=17521&amp;lessonName=pf_geo408&amp;linkTypeId=0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Getting Started  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Listen to the passage on pp. 106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Based on what you have listened to, answer the questions on p 107. If it is necessary, listen again and again.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Assignments for Independent Study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Read the passage on page 106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 and try to understand it.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Answer the questions on p. 107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Listen to, read, and memorize the new vocabulary on p. 109-110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before="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Study ‘</w:t>
      </w:r>
      <w:r w:rsidDel="00000000" w:rsidR="00000000" w:rsidRPr="00000000">
        <w:rPr>
          <w:i w:val="1"/>
          <w:rtl w:val="0"/>
        </w:rPr>
        <w:t xml:space="preserve">Xod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0"/>
        </w:rPr>
        <w:t xml:space="preserve">’ 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oneself</w:t>
      </w:r>
      <w:r w:rsidDel="00000000" w:rsidR="00000000" w:rsidRPr="00000000">
        <w:rPr>
          <w:rtl w:val="0"/>
        </w:rPr>
        <w:t xml:space="preserve">) </w:t>
      </w:r>
      <w:r w:rsidDel="00000000" w:rsidR="00000000" w:rsidRPr="00000000">
        <w:rPr>
          <w:rtl w:val="0"/>
        </w:rPr>
        <w:t xml:space="preserve">pp</w:t>
      </w:r>
      <w:r w:rsidDel="00000000" w:rsidR="00000000" w:rsidRPr="00000000">
        <w:rPr>
          <w:rtl w:val="0"/>
        </w:rPr>
        <w:t xml:space="preserve">. 71-72 </w:t>
      </w:r>
      <w:r w:rsidDel="00000000" w:rsidR="00000000" w:rsidRPr="00000000">
        <w:rPr>
          <w:rtl w:val="0"/>
        </w:rPr>
        <w:t xml:space="preserve">in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PG</w:t>
      </w:r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Exercise 1 on p. 108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Exercise 2 on p. 108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Try to remember the passage on p. 106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 and write down as much as you can.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Complete GLOSS Lesson: </w:t>
      </w:r>
      <w:r w:rsidDel="00000000" w:rsidR="00000000" w:rsidRPr="00000000">
        <w:rPr>
          <w:i w:val="1"/>
          <w:rtl w:val="0"/>
        </w:rPr>
        <w:t xml:space="preserve">‘Geography of Iran’s Northern Province’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2">
      <w:pPr>
        <w:pStyle w:val="Heading1"/>
        <w:rPr/>
      </w:pPr>
      <w:r w:rsidDel="00000000" w:rsidR="00000000" w:rsidRPr="00000000">
        <w:rPr>
          <w:rtl w:val="0"/>
        </w:rPr>
        <w:t xml:space="preserve">Homework to Hand in at the Tutorial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Answers of the questions on p. 107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Complete Exercise 1 and 2 on p. 108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a passage like the one on pp. 106, describe Shiraz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شیراز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26">
      <w:pPr>
        <w:numPr>
          <w:ilvl w:val="0"/>
          <w:numId w:val="5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Read the passage about Tabriz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تبریز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 in supplementary materials. Then translate it into English.</w:t>
      </w:r>
    </w:p>
    <w:p w:rsidR="00000000" w:rsidDel="00000000" w:rsidP="00000000" w:rsidRDefault="00000000" w:rsidRPr="00000000" w14:paraId="00000027">
      <w:pPr>
        <w:pStyle w:val="Heading1"/>
        <w:rPr/>
      </w:pPr>
      <w:r w:rsidDel="00000000" w:rsidR="00000000" w:rsidRPr="00000000">
        <w:rPr>
          <w:rtl w:val="0"/>
        </w:rPr>
        <w:t xml:space="preserve">Conversation Session Preparation Guide    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before="28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 prepared to present your passage about Shiraz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شیراز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 prepared to present a summary of the passage about Tabriz (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1"/>
        </w:rPr>
        <w:t xml:space="preserve">تبریز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).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tl w:val="0"/>
        </w:rPr>
        <w:t xml:space="preserve">Self Assessment  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before="280" w:lineRule="auto"/>
        <w:ind w:left="720" w:hanging="360"/>
        <w:rPr/>
      </w:pPr>
      <w:r w:rsidDel="00000000" w:rsidR="00000000" w:rsidRPr="00000000">
        <w:rPr>
          <w:rtl w:val="0"/>
        </w:rPr>
        <w:t xml:space="preserve">I have memorized and can actively use the new vocabulary.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 have read, understand and can discuss the text on pp.106 in </w:t>
      </w:r>
      <w:r w:rsidDel="00000000" w:rsidR="00000000" w:rsidRPr="00000000">
        <w:rPr>
          <w:i w:val="1"/>
          <w:rtl w:val="0"/>
        </w:rPr>
        <w:t xml:space="preserve">LP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understand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can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use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reflexive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pronoun</w:t>
      </w:r>
      <w:r w:rsidDel="00000000" w:rsidR="00000000" w:rsidRPr="00000000">
        <w:rPr>
          <w:rtl w:val="0"/>
        </w:rPr>
        <w:t xml:space="preserve"> "</w:t>
      </w:r>
      <w:r w:rsidDel="00000000" w:rsidR="00000000" w:rsidRPr="00000000">
        <w:rPr>
          <w:rtl w:val="1"/>
        </w:rPr>
        <w:t xml:space="preserve">خود</w:t>
      </w:r>
      <w:r w:rsidDel="00000000" w:rsidR="00000000" w:rsidRPr="00000000">
        <w:rPr>
          <w:rtl w:val="0"/>
        </w:rPr>
        <w:t xml:space="preserve">".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I understand and have completed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Lesson 13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Learning Persian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LP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], Book One.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before="0" w:lineRule="auto"/>
        <w:ind w:left="720" w:hanging="36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  <w:t xml:space="preserve">I understand and have completed GLOSS Lesson, </w:t>
      </w:r>
      <w:r w:rsidDel="00000000" w:rsidR="00000000" w:rsidRPr="00000000">
        <w:rPr>
          <w:i w:val="1"/>
          <w:rtl w:val="0"/>
        </w:rPr>
        <w:t xml:space="preserve">‘Geography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of Iran’s Northern Province.’ 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am prepared to go on to the next study guide.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I am ready to submit my self-assessment report.  </w:t>
      </w:r>
    </w:p>
    <w:sectPr>
      <w:pgSz w:h="15840" w:w="12240" w:orient="portrait"/>
      <w:pgMar w:bottom="1152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libri" w:cs="Calibri" w:eastAsia="Calibri" w:hAnsi="Calibri"/>
      <w:b w:val="1"/>
      <w:sz w:val="32"/>
      <w:szCs w:val="32"/>
    </w:rPr>
  </w:style>
  <w:style w:type="paragraph" w:styleId="Normal" w:default="1">
    <w:name w:val="Normal"/>
    <w:qFormat w:val="1"/>
    <w:rsid w:val="009565A4"/>
    <w:rPr>
      <w:rFonts w:ascii="Times" w:cs="Times" w:eastAsia="Times" w:hAnsi="Times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 w:val="1"/>
    <w:rsid w:val="005B19E0"/>
    <w:pPr>
      <w:keepNext w:val="1"/>
      <w:spacing w:after="60" w:before="240"/>
      <w:outlineLvl w:val="0"/>
    </w:pPr>
    <w:rPr>
      <w:rFonts w:asciiTheme="majorHAnsi" w:cstheme="majorBidi" w:eastAsiaTheme="majorEastAsia" w:hAnsiTheme="majorHAnsi"/>
      <w:b w:val="1"/>
      <w:bCs w:val="1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5B19E0"/>
    <w:pPr>
      <w:keepNext w:val="1"/>
      <w:spacing w:after="60" w:before="240"/>
      <w:outlineLvl w:val="1"/>
    </w:pPr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semiHidden w:val="1"/>
  </w:style>
  <w:style w:type="character" w:styleId="Hyperlink">
    <w:name w:val="Hyperlink"/>
    <w:basedOn w:val="DefaultParagraphFont"/>
    <w:rsid w:val="00CA46C4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 w:val="1"/>
    <w:rsid w:val="005B19E0"/>
    <w:pPr>
      <w:spacing w:after="60" w:before="240"/>
      <w:jc w:val="center"/>
      <w:outlineLvl w:val="0"/>
    </w:pPr>
    <w:rPr>
      <w:rFonts w:asciiTheme="majorHAnsi" w:cstheme="majorBidi" w:eastAsiaTheme="majorEastAsia" w:hAnsiTheme="majorHAnsi"/>
      <w:b w:val="1"/>
      <w:bCs w:val="1"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rsid w:val="005B19E0"/>
    <w:rPr>
      <w:rFonts w:asciiTheme="majorHAnsi" w:cstheme="majorBidi" w:eastAsiaTheme="majorEastAsia" w:hAnsiTheme="majorHAnsi"/>
      <w:b w:val="1"/>
      <w:bCs w:val="1"/>
      <w:kern w:val="28"/>
      <w:sz w:val="32"/>
      <w:szCs w:val="32"/>
      <w:lang w:eastAsia="zh-CN"/>
    </w:rPr>
  </w:style>
  <w:style w:type="paragraph" w:styleId="Subtitle">
    <w:name w:val="Subtitle"/>
    <w:basedOn w:val="Normal"/>
    <w:next w:val="Normal"/>
    <w:link w:val="SubtitleChar"/>
    <w:qFormat w:val="1"/>
    <w:rsid w:val="005B19E0"/>
    <w:pPr>
      <w:spacing w:after="60"/>
      <w:jc w:val="center"/>
      <w:outlineLvl w:val="1"/>
    </w:pPr>
    <w:rPr>
      <w:rFonts w:asciiTheme="majorHAnsi" w:cstheme="majorBidi" w:eastAsiaTheme="majorEastAsia" w:hAnsiTheme="majorHAnsi"/>
    </w:rPr>
  </w:style>
  <w:style w:type="character" w:styleId="SubtitleChar" w:customStyle="1">
    <w:name w:val="Subtitle Char"/>
    <w:basedOn w:val="DefaultParagraphFont"/>
    <w:link w:val="Subtitle"/>
    <w:rsid w:val="005B19E0"/>
    <w:rPr>
      <w:rFonts w:asciiTheme="majorHAnsi" w:cstheme="majorBidi" w:eastAsiaTheme="majorEastAsia" w:hAnsiTheme="majorHAnsi"/>
      <w:sz w:val="24"/>
      <w:szCs w:val="24"/>
      <w:lang w:eastAsia="zh-CN"/>
    </w:rPr>
  </w:style>
  <w:style w:type="character" w:styleId="Heading1Char" w:customStyle="1">
    <w:name w:val="Heading 1 Char"/>
    <w:basedOn w:val="DefaultParagraphFont"/>
    <w:link w:val="Heading1"/>
    <w:rsid w:val="005B19E0"/>
    <w:rPr>
      <w:rFonts w:asciiTheme="majorHAnsi" w:cstheme="majorBidi" w:eastAsiaTheme="majorEastAsia" w:hAnsiTheme="majorHAnsi"/>
      <w:b w:val="1"/>
      <w:bCs w:val="1"/>
      <w:kern w:val="32"/>
      <w:sz w:val="32"/>
      <w:szCs w:val="32"/>
      <w:lang w:eastAsia="zh-CN"/>
    </w:rPr>
  </w:style>
  <w:style w:type="character" w:styleId="Heading2Char" w:customStyle="1">
    <w:name w:val="Heading 2 Char"/>
    <w:basedOn w:val="DefaultParagraphFont"/>
    <w:link w:val="Heading2"/>
    <w:rsid w:val="005B19E0"/>
    <w:rPr>
      <w:rFonts w:asciiTheme="majorHAnsi" w:cstheme="majorBidi" w:eastAsiaTheme="majorEastAsia" w:hAnsiTheme="majorHAnsi"/>
      <w:b w:val="1"/>
      <w:bCs w:val="1"/>
      <w:i w:val="1"/>
      <w:iCs w:val="1"/>
      <w:sz w:val="28"/>
      <w:szCs w:val="28"/>
      <w:lang w:eastAsia="zh-CN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B19E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gloss.dliflc.edu/LessonViewer.aspx?lessonId=17521&amp;lessonName=pf_geo408&amp;linkTypeId=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OaqXwX+rdICRdgZyLDb5j1R/kA==">CgMxLjA4AHIhMTlITE9NZ0laTXlBbkJodXp3OWlZS2QzYm94b3YzNGxU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2021-07-19T13:33:00Z</dcterms:created>
  <dc:creator>Fulbright</dc:creator>
</cp:coreProperties>
</file>