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28E7" w:rsidRDefault="00C171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Turkish Study Guide 46</w:t>
      </w:r>
    </w:p>
    <w:p w14:paraId="00000002" w14:textId="61DFA84A" w:rsidR="00F228E7" w:rsidRDefault="00C171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Five College Center </w:t>
      </w:r>
      <w:r>
        <w:rPr>
          <w:rFonts w:ascii="Times New Roman" w:eastAsia="Times New Roman" w:hAnsi="Times New Roman" w:cs="Times New Roman"/>
          <w:b/>
          <w:sz w:val="22"/>
          <w:szCs w:val="22"/>
        </w:rPr>
        <w:t>World Languages</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14:paraId="00000003" w14:textId="77777777" w:rsidR="00F228E7" w:rsidRDefault="00C171C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Available online at </w:t>
      </w:r>
      <w:hyperlink r:id="rId6">
        <w:r>
          <w:rPr>
            <w:rFonts w:ascii="Times New Roman" w:eastAsia="Times New Roman" w:hAnsi="Times New Roman" w:cs="Times New Roman"/>
            <w:b/>
            <w:color w:val="0000FF"/>
            <w:sz w:val="22"/>
            <w:szCs w:val="22"/>
            <w:u w:val="single"/>
          </w:rPr>
          <w:t>http://langmedia.fivecolleges.edu</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Version Date: June 2017 </w:t>
      </w:r>
    </w:p>
    <w:p w14:paraId="00000004" w14:textId="77777777" w:rsidR="00F228E7" w:rsidRDefault="00F228E7">
      <w:pPr>
        <w:spacing w:before="120"/>
        <w:rPr>
          <w:rFonts w:ascii="Times New Roman" w:eastAsia="Times New Roman" w:hAnsi="Times New Roman" w:cs="Times New Roman"/>
          <w:sz w:val="22"/>
          <w:szCs w:val="22"/>
        </w:rPr>
      </w:pPr>
    </w:p>
    <w:p w14:paraId="00000005" w14:textId="77777777" w:rsidR="00F228E7" w:rsidRDefault="00C171C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Materials</w:t>
      </w:r>
    </w:p>
    <w:p w14:paraId="00000006" w14:textId="31BB6A3B" w:rsidR="00F228E7" w:rsidRDefault="00C171CF">
      <w:pPr>
        <w:numPr>
          <w:ilvl w:val="0"/>
          <w:numId w:val="3"/>
        </w:numPr>
        <w:tabs>
          <w:tab w:val="left" w:pos="720"/>
        </w:tabs>
        <w:spacing w:before="120"/>
        <w:ind w:left="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Öztopçu</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 xml:space="preserve"> Elementary Turkish (ET), </w:t>
      </w:r>
      <w:r>
        <w:rPr>
          <w:rFonts w:ascii="Times New Roman" w:eastAsia="Times New Roman" w:hAnsi="Times New Roman" w:cs="Times New Roman"/>
          <w:color w:val="000000"/>
          <w:sz w:val="22"/>
          <w:szCs w:val="22"/>
        </w:rPr>
        <w:t>Chapter 28, Sections 1-7, pg. 324-339.</w:t>
      </w:r>
    </w:p>
    <w:p w14:paraId="7DE71765" w14:textId="45DBF192" w:rsidR="00C171CF" w:rsidRDefault="00C171CF">
      <w:pPr>
        <w:numPr>
          <w:ilvl w:val="0"/>
          <w:numId w:val="3"/>
        </w:numPr>
        <w:tabs>
          <w:tab w:val="left" w:pos="720"/>
        </w:tabs>
        <w:spacing w:before="120"/>
        <w:ind w:left="720"/>
        <w:rPr>
          <w:rFonts w:ascii="Times New Roman" w:eastAsia="Times New Roman" w:hAnsi="Times New Roman" w:cs="Times New Roman"/>
          <w:color w:val="000000"/>
          <w:sz w:val="22"/>
          <w:szCs w:val="22"/>
        </w:rPr>
      </w:pPr>
      <w:proofErr w:type="spellStart"/>
      <w:r>
        <w:rPr>
          <w:color w:val="000000"/>
        </w:rPr>
        <w:t>Nasrettin</w:t>
      </w:r>
      <w:proofErr w:type="spellEnd"/>
      <w:r>
        <w:rPr>
          <w:color w:val="000000"/>
        </w:rPr>
        <w:t xml:space="preserve"> </w:t>
      </w:r>
      <w:proofErr w:type="spellStart"/>
      <w:r>
        <w:rPr>
          <w:color w:val="000000"/>
        </w:rPr>
        <w:t>Hoca</w:t>
      </w:r>
      <w:proofErr w:type="spellEnd"/>
      <w:r>
        <w:rPr>
          <w:color w:val="000000"/>
        </w:rPr>
        <w:t xml:space="preserve"> story </w:t>
      </w:r>
      <w:r>
        <w:rPr>
          <w:i/>
          <w:color w:val="000000"/>
        </w:rPr>
        <w:t xml:space="preserve">Ye </w:t>
      </w:r>
      <w:proofErr w:type="spellStart"/>
      <w:r>
        <w:rPr>
          <w:i/>
          <w:color w:val="000000"/>
        </w:rPr>
        <w:t>Kürküm</w:t>
      </w:r>
      <w:proofErr w:type="spellEnd"/>
      <w:r>
        <w:rPr>
          <w:i/>
          <w:color w:val="000000"/>
        </w:rPr>
        <w:t xml:space="preserve"> </w:t>
      </w:r>
      <w:proofErr w:type="gramStart"/>
      <w:r>
        <w:rPr>
          <w:i/>
          <w:color w:val="000000"/>
        </w:rPr>
        <w:t>Ye!</w:t>
      </w:r>
      <w:r>
        <w:rPr>
          <w:color w:val="000000"/>
        </w:rPr>
        <w:t>:</w:t>
      </w:r>
      <w:proofErr w:type="gramEnd"/>
      <w:r>
        <w:rPr>
          <w:color w:val="000000"/>
        </w:rPr>
        <w:t xml:space="preserve"> </w:t>
      </w:r>
      <w:hyperlink r:id="rId7" w:history="1">
        <w:r w:rsidRPr="005B4E83">
          <w:rPr>
            <w:rStyle w:val="Hyperlink"/>
          </w:rPr>
          <w:t>https://masalal</w:t>
        </w:r>
        <w:r w:rsidRPr="005B4E83">
          <w:rPr>
            <w:rStyle w:val="Hyperlink"/>
          </w:rPr>
          <w:t>e</w:t>
        </w:r>
        <w:r w:rsidRPr="005B4E83">
          <w:rPr>
            <w:rStyle w:val="Hyperlink"/>
          </w:rPr>
          <w:t>mi.com/ye-kurkum-ye/</w:t>
        </w:r>
      </w:hyperlink>
      <w:r>
        <w:t xml:space="preserve"> </w:t>
      </w:r>
    </w:p>
    <w:p w14:paraId="00000007" w14:textId="0C36A71E" w:rsidR="00F228E7" w:rsidRDefault="00F228E7">
      <w:pPr>
        <w:tabs>
          <w:tab w:val="left" w:pos="720"/>
        </w:tabs>
        <w:spacing w:before="120"/>
        <w:rPr>
          <w:rFonts w:ascii="Times New Roman" w:eastAsia="Times New Roman" w:hAnsi="Times New Roman" w:cs="Times New Roman"/>
          <w:color w:val="000000"/>
          <w:sz w:val="22"/>
          <w:szCs w:val="22"/>
        </w:rPr>
      </w:pPr>
    </w:p>
    <w:p w14:paraId="00000008" w14:textId="77777777" w:rsidR="00F228E7" w:rsidRDefault="00C171CF">
      <w:pPr>
        <w:tabs>
          <w:tab w:val="left" w:pos="720"/>
        </w:tabs>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Assignments for Independent Study</w:t>
      </w:r>
    </w:p>
    <w:p w14:paraId="00000009" w14:textId="77777777" w:rsidR="00F228E7" w:rsidRDefault="00C171CF">
      <w:pP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Reinforcement of material from the previous study guide</w:t>
      </w:r>
    </w:p>
    <w:p w14:paraId="0000000A" w14:textId="77777777" w:rsidR="00F228E7" w:rsidRDefault="00C171CF">
      <w:pPr>
        <w:numPr>
          <w:ilvl w:val="0"/>
          <w:numId w:val="4"/>
        </w:numPr>
        <w:pBdr>
          <w:top w:val="nil"/>
          <w:left w:val="nil"/>
          <w:bottom w:val="nil"/>
          <w:right w:val="nil"/>
          <w:between w:val="nil"/>
        </w:pBd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Can you still use </w:t>
      </w:r>
      <w:proofErr w:type="spellStart"/>
      <w:r>
        <w:rPr>
          <w:rFonts w:ascii="Times New Roman" w:eastAsia="Times New Roman" w:hAnsi="Times New Roman" w:cs="Times New Roman"/>
          <w:color w:val="000000"/>
          <w:sz w:val="22"/>
          <w:szCs w:val="22"/>
        </w:rPr>
        <w:t>aynı</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başka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öbür</w:t>
      </w:r>
      <w:proofErr w:type="spellEnd"/>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diğer</w:t>
      </w:r>
      <w:proofErr w:type="spellEnd"/>
      <w:r>
        <w:rPr>
          <w:rFonts w:ascii="Times New Roman" w:eastAsia="Times New Roman" w:hAnsi="Times New Roman" w:cs="Times New Roman"/>
          <w:color w:val="000000"/>
          <w:sz w:val="22"/>
          <w:szCs w:val="22"/>
        </w:rPr>
        <w:t xml:space="preserve"> where appropriate?</w:t>
      </w:r>
    </w:p>
    <w:p w14:paraId="0000000B" w14:textId="77777777" w:rsidR="00F228E7" w:rsidRDefault="00C171CF">
      <w:pPr>
        <w:numPr>
          <w:ilvl w:val="0"/>
          <w:numId w:val="4"/>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Can you still create adverbs and use them to form longer sentences? </w:t>
      </w:r>
    </w:p>
    <w:p w14:paraId="0000000C" w14:textId="77777777" w:rsidR="00F228E7" w:rsidRDefault="00F228E7"/>
    <w:p w14:paraId="0000000D" w14:textId="77777777" w:rsidR="00F228E7" w:rsidRDefault="00C171CF">
      <w:pPr>
        <w:rPr>
          <w:b/>
        </w:rPr>
      </w:pPr>
      <w:r>
        <w:rPr>
          <w:b/>
        </w:rPr>
        <w:t xml:space="preserve">Media: Reading </w:t>
      </w:r>
    </w:p>
    <w:p w14:paraId="0000000E" w14:textId="77777777" w:rsidR="00F228E7" w:rsidRDefault="00C171CF">
      <w:pPr>
        <w:numPr>
          <w:ilvl w:val="0"/>
          <w:numId w:val="4"/>
        </w:numPr>
        <w:pBdr>
          <w:top w:val="nil"/>
          <w:left w:val="nil"/>
          <w:bottom w:val="nil"/>
          <w:right w:val="nil"/>
          <w:between w:val="nil"/>
        </w:pBdr>
      </w:pPr>
      <w:r>
        <w:rPr>
          <w:color w:val="000000"/>
        </w:rPr>
        <w:t xml:space="preserve">Read the </w:t>
      </w:r>
      <w:proofErr w:type="spellStart"/>
      <w:r>
        <w:rPr>
          <w:color w:val="000000"/>
        </w:rPr>
        <w:t>Nasrettin</w:t>
      </w:r>
      <w:proofErr w:type="spellEnd"/>
      <w:r>
        <w:rPr>
          <w:color w:val="000000"/>
        </w:rPr>
        <w:t xml:space="preserve"> </w:t>
      </w:r>
      <w:proofErr w:type="spellStart"/>
      <w:r>
        <w:rPr>
          <w:color w:val="000000"/>
        </w:rPr>
        <w:t>Hoca</w:t>
      </w:r>
      <w:proofErr w:type="spellEnd"/>
      <w:r>
        <w:rPr>
          <w:color w:val="000000"/>
        </w:rPr>
        <w:t xml:space="preserve"> story </w:t>
      </w:r>
      <w:r>
        <w:rPr>
          <w:i/>
          <w:color w:val="000000"/>
        </w:rPr>
        <w:t xml:space="preserve">Ye </w:t>
      </w:r>
      <w:proofErr w:type="spellStart"/>
      <w:r>
        <w:rPr>
          <w:i/>
          <w:color w:val="000000"/>
        </w:rPr>
        <w:t>Kürküm</w:t>
      </w:r>
      <w:proofErr w:type="spellEnd"/>
      <w:r>
        <w:rPr>
          <w:i/>
          <w:color w:val="000000"/>
        </w:rPr>
        <w:t xml:space="preserve"> Ye!</w:t>
      </w:r>
      <w:r>
        <w:rPr>
          <w:color w:val="000000"/>
        </w:rPr>
        <w:t xml:space="preserve"> at this link: </w:t>
      </w:r>
      <w:r>
        <w:t>https://masalalemi.com/ye-kurkum-ye/</w:t>
      </w:r>
      <w:r>
        <w:rPr>
          <w:color w:val="000000"/>
        </w:rPr>
        <w:t xml:space="preserve"> Read it all the way through once, without stopping to make notes or look up words. The second time, read through more slowly, stopping to look up vocabulary as needed. When you are comfortable with your understanding of the story/article, summarize it in </w:t>
      </w:r>
      <w:r>
        <w:rPr>
          <w:color w:val="000000"/>
        </w:rPr>
        <w:t>about three sente</w:t>
      </w:r>
      <w:bookmarkStart w:id="0" w:name="_GoBack"/>
      <w:bookmarkEnd w:id="0"/>
      <w:r>
        <w:rPr>
          <w:color w:val="000000"/>
        </w:rPr>
        <w:t xml:space="preserve">nces. What is the message of the story? </w:t>
      </w:r>
    </w:p>
    <w:p w14:paraId="0000000F" w14:textId="77777777" w:rsidR="00F228E7" w:rsidRDefault="00C171CF">
      <w:pPr>
        <w:numPr>
          <w:ilvl w:val="0"/>
          <w:numId w:val="4"/>
        </w:numPr>
        <w:pBdr>
          <w:top w:val="nil"/>
          <w:left w:val="nil"/>
          <w:bottom w:val="nil"/>
          <w:right w:val="nil"/>
          <w:between w:val="nil"/>
        </w:pBdr>
      </w:pPr>
      <w:r>
        <w:rPr>
          <w:b/>
          <w:color w:val="000000"/>
        </w:rPr>
        <w:t>FOR TUTORIAL:</w:t>
      </w:r>
      <w:r>
        <w:rPr>
          <w:color w:val="000000"/>
        </w:rPr>
        <w:t xml:space="preserve"> Talk with your mentor about what you read. You should be ready to discuss your findings and state your opinions without reading from your notes.</w:t>
      </w:r>
    </w:p>
    <w:p w14:paraId="00000010" w14:textId="77777777" w:rsidR="00F228E7" w:rsidRDefault="00F228E7">
      <w:pPr>
        <w:tabs>
          <w:tab w:val="left" w:pos="720"/>
        </w:tabs>
        <w:spacing w:before="120"/>
        <w:rPr>
          <w:rFonts w:ascii="Times New Roman" w:eastAsia="Times New Roman" w:hAnsi="Times New Roman" w:cs="Times New Roman"/>
          <w:b/>
          <w:i/>
          <w:color w:val="000000"/>
          <w:sz w:val="22"/>
          <w:szCs w:val="22"/>
        </w:rPr>
      </w:pPr>
    </w:p>
    <w:p w14:paraId="00000011" w14:textId="77777777" w:rsidR="00F228E7" w:rsidRDefault="00C171CF">
      <w:pP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Polite Requests</w:t>
      </w:r>
    </w:p>
    <w:p w14:paraId="00000012" w14:textId="77777777" w:rsidR="00F228E7" w:rsidRDefault="00C171CF">
      <w:pPr>
        <w:numPr>
          <w:ilvl w:val="0"/>
          <w:numId w:val="4"/>
        </w:numPr>
        <w:pBdr>
          <w:top w:val="nil"/>
          <w:left w:val="nil"/>
          <w:bottom w:val="nil"/>
          <w:right w:val="nil"/>
          <w:between w:val="nil"/>
        </w:pBdr>
        <w:tabs>
          <w:tab w:val="left" w:pos="720"/>
        </w:tabs>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Study Section 4, pg. 332. Make note of any new vocabulary and how it is used. </w:t>
      </w:r>
    </w:p>
    <w:p w14:paraId="00000013" w14:textId="77777777" w:rsidR="00F228E7" w:rsidRDefault="00C171CF">
      <w:pPr>
        <w:numPr>
          <w:ilvl w:val="0"/>
          <w:numId w:val="4"/>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Complete the Practice in Pairs exercise on pg. 333 by reading the questions and responses out loud. Try to create your own question/answer request for a few of the locations. </w:t>
      </w:r>
    </w:p>
    <w:p w14:paraId="00000014" w14:textId="77777777" w:rsidR="00F228E7" w:rsidRDefault="00F228E7">
      <w:pPr>
        <w:tabs>
          <w:tab w:val="left" w:pos="720"/>
        </w:tabs>
        <w:spacing w:before="120"/>
        <w:rPr>
          <w:rFonts w:ascii="Times New Roman" w:eastAsia="Times New Roman" w:hAnsi="Times New Roman" w:cs="Times New Roman"/>
          <w:b/>
          <w:i/>
          <w:color w:val="000000"/>
          <w:sz w:val="22"/>
          <w:szCs w:val="22"/>
        </w:rPr>
      </w:pPr>
    </w:p>
    <w:p w14:paraId="00000015" w14:textId="77777777" w:rsidR="00F228E7" w:rsidRDefault="00C171CF">
      <w:pP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The </w:t>
      </w:r>
      <w:proofErr w:type="spellStart"/>
      <w:r>
        <w:rPr>
          <w:rFonts w:ascii="Times New Roman" w:eastAsia="Times New Roman" w:hAnsi="Times New Roman" w:cs="Times New Roman"/>
          <w:b/>
          <w:i/>
          <w:color w:val="000000"/>
          <w:sz w:val="22"/>
          <w:szCs w:val="22"/>
        </w:rPr>
        <w:t>Abilitative</w:t>
      </w:r>
      <w:proofErr w:type="spellEnd"/>
    </w:p>
    <w:p w14:paraId="00000016" w14:textId="77777777" w:rsidR="00F228E7" w:rsidRDefault="00C171CF">
      <w:pPr>
        <w:numPr>
          <w:ilvl w:val="0"/>
          <w:numId w:val="4"/>
        </w:numPr>
        <w:pBdr>
          <w:top w:val="nil"/>
          <w:left w:val="nil"/>
          <w:bottom w:val="nil"/>
          <w:right w:val="nil"/>
          <w:between w:val="nil"/>
        </w:pBd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Read the dialogue in Section 1, pg. 325, “</w:t>
      </w:r>
      <w:proofErr w:type="spellStart"/>
      <w:r>
        <w:rPr>
          <w:rFonts w:ascii="Times New Roman" w:eastAsia="Times New Roman" w:hAnsi="Times New Roman" w:cs="Times New Roman"/>
          <w:color w:val="000000"/>
          <w:sz w:val="22"/>
          <w:szCs w:val="22"/>
        </w:rPr>
        <w:t>Lale’yle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görüşebilir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miyim</w:t>
      </w:r>
      <w:proofErr w:type="spellEnd"/>
      <w:r>
        <w:rPr>
          <w:rFonts w:ascii="Times New Roman" w:eastAsia="Times New Roman" w:hAnsi="Times New Roman" w:cs="Times New Roman"/>
          <w:color w:val="000000"/>
          <w:sz w:val="22"/>
          <w:szCs w:val="22"/>
        </w:rPr>
        <w:t>?” Read it out loud to yourself. Complete the substitution drills out loud.</w:t>
      </w:r>
    </w:p>
    <w:p w14:paraId="00000017" w14:textId="77777777" w:rsidR="00F228E7" w:rsidRDefault="00C171CF">
      <w:pPr>
        <w:numPr>
          <w:ilvl w:val="0"/>
          <w:numId w:val="4"/>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Study the use of the </w:t>
      </w:r>
      <w:proofErr w:type="spellStart"/>
      <w:r>
        <w:rPr>
          <w:rFonts w:ascii="Times New Roman" w:eastAsia="Times New Roman" w:hAnsi="Times New Roman" w:cs="Times New Roman"/>
          <w:color w:val="000000"/>
          <w:sz w:val="22"/>
          <w:szCs w:val="22"/>
        </w:rPr>
        <w:t>Abilitative</w:t>
      </w:r>
      <w:proofErr w:type="spellEnd"/>
      <w:r>
        <w:rPr>
          <w:rFonts w:ascii="Times New Roman" w:eastAsia="Times New Roman" w:hAnsi="Times New Roman" w:cs="Times New Roman"/>
          <w:color w:val="000000"/>
          <w:sz w:val="22"/>
          <w:szCs w:val="22"/>
        </w:rPr>
        <w:t xml:space="preserve"> in Section 2, pg. 326-331. </w:t>
      </w:r>
    </w:p>
    <w:p w14:paraId="00000018" w14:textId="77777777" w:rsidR="00F228E7" w:rsidRDefault="00C171CF">
      <w:pPr>
        <w:numPr>
          <w:ilvl w:val="0"/>
          <w:numId w:val="4"/>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FOR TUTORIAL:</w:t>
      </w:r>
      <w:r>
        <w:rPr>
          <w:rFonts w:ascii="Times New Roman" w:eastAsia="Times New Roman" w:hAnsi="Times New Roman" w:cs="Times New Roman"/>
          <w:color w:val="000000"/>
          <w:sz w:val="22"/>
          <w:szCs w:val="22"/>
        </w:rPr>
        <w:t xml:space="preserve"> Complete the translation exercises in Section 2, pg. 328 and 329-330. </w:t>
      </w:r>
    </w:p>
    <w:p w14:paraId="00000019" w14:textId="77777777" w:rsidR="00F228E7" w:rsidRDefault="00C171CF">
      <w:pPr>
        <w:numPr>
          <w:ilvl w:val="0"/>
          <w:numId w:val="4"/>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Dialogue:</w:t>
      </w:r>
      <w:r>
        <w:rPr>
          <w:rFonts w:ascii="Times New Roman" w:eastAsia="Times New Roman" w:hAnsi="Times New Roman" w:cs="Times New Roman"/>
          <w:color w:val="000000"/>
          <w:sz w:val="22"/>
          <w:szCs w:val="22"/>
        </w:rPr>
        <w:t xml:space="preserve"> You are interviewing for an internship at a Turkish company. Create a dialogue between the interviewer and yourself in which you have to explain your strengths and weaknesses</w:t>
      </w:r>
      <w:r>
        <w:rPr>
          <w:rFonts w:ascii="Times New Roman" w:eastAsia="Times New Roman" w:hAnsi="Times New Roman" w:cs="Times New Roman"/>
          <w:color w:val="000000"/>
          <w:sz w:val="22"/>
          <w:szCs w:val="22"/>
        </w:rPr>
        <w:t xml:space="preserve">. Use the </w:t>
      </w:r>
      <w:proofErr w:type="spellStart"/>
      <w:r>
        <w:rPr>
          <w:rFonts w:ascii="Times New Roman" w:eastAsia="Times New Roman" w:hAnsi="Times New Roman" w:cs="Times New Roman"/>
          <w:color w:val="000000"/>
          <w:sz w:val="22"/>
          <w:szCs w:val="22"/>
        </w:rPr>
        <w:t>abilitative</w:t>
      </w:r>
      <w:proofErr w:type="spellEnd"/>
      <w:r>
        <w:rPr>
          <w:rFonts w:ascii="Times New Roman" w:eastAsia="Times New Roman" w:hAnsi="Times New Roman" w:cs="Times New Roman"/>
          <w:color w:val="000000"/>
          <w:sz w:val="22"/>
          <w:szCs w:val="22"/>
        </w:rPr>
        <w:t xml:space="preserve"> throughout, and try to include at least 4 verbs in the causative. Write at least 10 lines. </w:t>
      </w:r>
    </w:p>
    <w:p w14:paraId="0000001A" w14:textId="77777777" w:rsidR="00F228E7" w:rsidRDefault="00F228E7">
      <w:pPr>
        <w:tabs>
          <w:tab w:val="left" w:pos="720"/>
        </w:tabs>
        <w:spacing w:before="120"/>
        <w:rPr>
          <w:rFonts w:ascii="Times New Roman" w:eastAsia="Times New Roman" w:hAnsi="Times New Roman" w:cs="Times New Roman"/>
          <w:b/>
          <w:i/>
          <w:color w:val="000000"/>
          <w:sz w:val="22"/>
          <w:szCs w:val="22"/>
        </w:rPr>
      </w:pPr>
    </w:p>
    <w:p w14:paraId="0000001B" w14:textId="77777777" w:rsidR="00F228E7" w:rsidRDefault="00C171CF">
      <w:pP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The Causative </w:t>
      </w:r>
    </w:p>
    <w:p w14:paraId="0000001C" w14:textId="77777777" w:rsidR="00F228E7" w:rsidRDefault="00C171CF">
      <w:pPr>
        <w:numPr>
          <w:ilvl w:val="0"/>
          <w:numId w:val="1"/>
        </w:numPr>
        <w:pBdr>
          <w:top w:val="nil"/>
          <w:left w:val="nil"/>
          <w:bottom w:val="nil"/>
          <w:right w:val="nil"/>
          <w:between w:val="nil"/>
        </w:pBd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Read the dialogue in Section 6, pg. 335, and the practice in pairs exercises below. Pay attention to the use of the causative.</w:t>
      </w:r>
      <w:r>
        <w:rPr>
          <w:rFonts w:ascii="Times New Roman" w:eastAsia="Times New Roman" w:hAnsi="Times New Roman" w:cs="Times New Roman"/>
          <w:color w:val="000000"/>
          <w:sz w:val="22"/>
          <w:szCs w:val="22"/>
        </w:rPr>
        <w:t xml:space="preserve"> </w:t>
      </w:r>
    </w:p>
    <w:p w14:paraId="0000001D" w14:textId="77777777" w:rsidR="00F228E7" w:rsidRDefault="00C171CF">
      <w:pPr>
        <w:numPr>
          <w:ilvl w:val="0"/>
          <w:numId w:val="1"/>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Study the uses and construction of the causative in Section 7, pg. 337-339.</w:t>
      </w:r>
    </w:p>
    <w:p w14:paraId="0000001E" w14:textId="77777777" w:rsidR="00F228E7" w:rsidRDefault="00C171CF">
      <w:pPr>
        <w:numPr>
          <w:ilvl w:val="0"/>
          <w:numId w:val="1"/>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FOR TUTORIAL:</w:t>
      </w:r>
      <w:r>
        <w:rPr>
          <w:rFonts w:ascii="Times New Roman" w:eastAsia="Times New Roman" w:hAnsi="Times New Roman" w:cs="Times New Roman"/>
          <w:color w:val="000000"/>
          <w:sz w:val="22"/>
          <w:szCs w:val="22"/>
        </w:rPr>
        <w:t xml:space="preserve"> Complete the exercises in Section 7, pg. 339.</w:t>
      </w:r>
    </w:p>
    <w:p w14:paraId="0000001F" w14:textId="77777777" w:rsidR="00F228E7" w:rsidRDefault="00C171CF">
      <w:pPr>
        <w:numPr>
          <w:ilvl w:val="0"/>
          <w:numId w:val="1"/>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lastRenderedPageBreak/>
        <w:t>FOR TUTORIAL:</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Read the article in Section 8, pg. 340, and answer the reading comprehension questions.</w:t>
      </w:r>
      <w:r>
        <w:rPr>
          <w:rFonts w:ascii="Times New Roman" w:eastAsia="Times New Roman" w:hAnsi="Times New Roman" w:cs="Times New Roman"/>
          <w:b/>
          <w:color w:val="000000"/>
          <w:sz w:val="22"/>
          <w:szCs w:val="22"/>
        </w:rPr>
        <w:t xml:space="preserve"> </w:t>
      </w:r>
    </w:p>
    <w:p w14:paraId="00000020" w14:textId="77777777" w:rsidR="00F228E7" w:rsidRDefault="00F228E7">
      <w:pPr>
        <w:tabs>
          <w:tab w:val="left" w:pos="720"/>
        </w:tabs>
        <w:spacing w:before="120"/>
        <w:rPr>
          <w:rFonts w:ascii="Times New Roman" w:eastAsia="Times New Roman" w:hAnsi="Times New Roman" w:cs="Times New Roman"/>
          <w:b/>
          <w:i/>
          <w:color w:val="000000"/>
          <w:sz w:val="22"/>
          <w:szCs w:val="22"/>
        </w:rPr>
      </w:pPr>
    </w:p>
    <w:p w14:paraId="00000021" w14:textId="77777777" w:rsidR="00F228E7" w:rsidRDefault="00C171CF">
      <w:pP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Conversation P</w:t>
      </w:r>
      <w:r>
        <w:rPr>
          <w:rFonts w:ascii="Times New Roman" w:eastAsia="Times New Roman" w:hAnsi="Times New Roman" w:cs="Times New Roman"/>
          <w:b/>
          <w:i/>
          <w:color w:val="000000"/>
          <w:sz w:val="22"/>
          <w:szCs w:val="22"/>
        </w:rPr>
        <w:t>reparation Guide</w:t>
      </w:r>
    </w:p>
    <w:p w14:paraId="00000022" w14:textId="77777777" w:rsidR="00F228E7" w:rsidRDefault="00C171CF">
      <w:pPr>
        <w:numPr>
          <w:ilvl w:val="0"/>
          <w:numId w:val="2"/>
        </w:numPr>
        <w:pBdr>
          <w:top w:val="nil"/>
          <w:left w:val="nil"/>
          <w:bottom w:val="nil"/>
          <w:right w:val="nil"/>
          <w:between w:val="nil"/>
        </w:pBdr>
        <w:tabs>
          <w:tab w:val="left" w:pos="720"/>
        </w:tabs>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 prepared to talk about the </w:t>
      </w:r>
      <w:proofErr w:type="spellStart"/>
      <w:r>
        <w:rPr>
          <w:rFonts w:ascii="Times New Roman" w:eastAsia="Times New Roman" w:hAnsi="Times New Roman" w:cs="Times New Roman"/>
          <w:color w:val="000000"/>
          <w:sz w:val="22"/>
          <w:szCs w:val="22"/>
        </w:rPr>
        <w:t>Nasrettin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Hoca</w:t>
      </w:r>
      <w:proofErr w:type="spellEnd"/>
      <w:r>
        <w:rPr>
          <w:rFonts w:ascii="Times New Roman" w:eastAsia="Times New Roman" w:hAnsi="Times New Roman" w:cs="Times New Roman"/>
          <w:color w:val="000000"/>
          <w:sz w:val="22"/>
          <w:szCs w:val="22"/>
        </w:rPr>
        <w:t xml:space="preserve"> story you read for homework, and ask any questions you may have. </w:t>
      </w:r>
    </w:p>
    <w:p w14:paraId="00000023" w14:textId="77777777" w:rsidR="00F228E7" w:rsidRDefault="00C171CF">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color w:val="000000"/>
          <w:sz w:val="22"/>
          <w:szCs w:val="22"/>
        </w:rPr>
        <w:t xml:space="preserve">Be prepared to use polite requests in the </w:t>
      </w:r>
      <w:proofErr w:type="spellStart"/>
      <w:r>
        <w:rPr>
          <w:rFonts w:ascii="Times New Roman" w:eastAsia="Times New Roman" w:hAnsi="Times New Roman" w:cs="Times New Roman"/>
          <w:color w:val="000000"/>
          <w:sz w:val="22"/>
          <w:szCs w:val="22"/>
        </w:rPr>
        <w:t>abilitative</w:t>
      </w:r>
      <w:proofErr w:type="spellEnd"/>
      <w:r>
        <w:rPr>
          <w:rFonts w:ascii="Times New Roman" w:eastAsia="Times New Roman" w:hAnsi="Times New Roman" w:cs="Times New Roman"/>
          <w:color w:val="000000"/>
          <w:sz w:val="22"/>
          <w:szCs w:val="22"/>
        </w:rPr>
        <w:t xml:space="preserve"> during your conversation session.</w:t>
      </w:r>
    </w:p>
    <w:p w14:paraId="00000024" w14:textId="77777777" w:rsidR="00F228E7" w:rsidRDefault="00C171CF">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 prepared to talk with your conversation partner about what you and/or other people can or cannot do. </w:t>
      </w:r>
    </w:p>
    <w:p w14:paraId="00000025" w14:textId="77777777" w:rsidR="00F228E7" w:rsidRDefault="00C171CF">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 prepared to use the causative in conversation and make a distinction between transitive and intransitive verbs in Turkish. </w:t>
      </w:r>
    </w:p>
    <w:p w14:paraId="00000026" w14:textId="77777777" w:rsidR="00F228E7" w:rsidRDefault="00F228E7">
      <w:pPr>
        <w:tabs>
          <w:tab w:val="left" w:pos="720"/>
        </w:tabs>
        <w:spacing w:before="120"/>
        <w:rPr>
          <w:rFonts w:ascii="Times New Roman" w:eastAsia="Times New Roman" w:hAnsi="Times New Roman" w:cs="Times New Roman"/>
          <w:b/>
          <w:i/>
          <w:color w:val="000000"/>
          <w:sz w:val="22"/>
          <w:szCs w:val="22"/>
        </w:rPr>
      </w:pPr>
    </w:p>
    <w:p w14:paraId="00000027" w14:textId="77777777" w:rsidR="00F228E7" w:rsidRDefault="00C171CF">
      <w:pP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Homework for Tutorial</w:t>
      </w:r>
    </w:p>
    <w:p w14:paraId="00000028" w14:textId="77777777" w:rsidR="00F228E7" w:rsidRDefault="00C171CF">
      <w:pPr>
        <w:numPr>
          <w:ilvl w:val="0"/>
          <w:numId w:val="1"/>
        </w:numPr>
        <w:pBdr>
          <w:top w:val="nil"/>
          <w:left w:val="nil"/>
          <w:bottom w:val="nil"/>
          <w:right w:val="nil"/>
          <w:between w:val="nil"/>
        </w:pBdr>
        <w:tabs>
          <w:tab w:val="left" w:pos="720"/>
        </w:tabs>
        <w:spacing w:before="120"/>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omplete the exercises in Section 7, pg. 339.</w:t>
      </w:r>
    </w:p>
    <w:p w14:paraId="00000029" w14:textId="77777777" w:rsidR="00F228E7" w:rsidRDefault="00C171CF">
      <w:pPr>
        <w:numPr>
          <w:ilvl w:val="0"/>
          <w:numId w:val="1"/>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Read the article in Section 8, pg. 340, and answer the reading comprehension questions.</w:t>
      </w:r>
      <w:r>
        <w:rPr>
          <w:rFonts w:ascii="Times New Roman" w:eastAsia="Times New Roman" w:hAnsi="Times New Roman" w:cs="Times New Roman"/>
          <w:b/>
          <w:color w:val="000000"/>
          <w:sz w:val="22"/>
          <w:szCs w:val="22"/>
        </w:rPr>
        <w:t xml:space="preserve"> </w:t>
      </w:r>
    </w:p>
    <w:p w14:paraId="0000002A" w14:textId="77777777" w:rsidR="00F228E7" w:rsidRDefault="00C171CF">
      <w:pPr>
        <w:numPr>
          <w:ilvl w:val="0"/>
          <w:numId w:val="1"/>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Complete the translation exercises in Section 2, pg. 328 and 329-330. </w:t>
      </w:r>
    </w:p>
    <w:p w14:paraId="0000002B" w14:textId="77777777" w:rsidR="00F228E7" w:rsidRDefault="00C171CF">
      <w:pPr>
        <w:numPr>
          <w:ilvl w:val="0"/>
          <w:numId w:val="1"/>
        </w:numPr>
        <w:pBdr>
          <w:top w:val="nil"/>
          <w:left w:val="nil"/>
          <w:bottom w:val="nil"/>
          <w:right w:val="nil"/>
          <w:between w:val="nil"/>
        </w:pBdr>
        <w:tabs>
          <w:tab w:val="left" w:pos="720"/>
        </w:tabs>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Dialogue:</w:t>
      </w:r>
      <w:r>
        <w:rPr>
          <w:rFonts w:ascii="Times New Roman" w:eastAsia="Times New Roman" w:hAnsi="Times New Roman" w:cs="Times New Roman"/>
          <w:color w:val="000000"/>
          <w:sz w:val="22"/>
          <w:szCs w:val="22"/>
        </w:rPr>
        <w:t xml:space="preserve"> You are interviewing for an internship at a Turkish company. Create a dialogue between the interviewer and yourself in which you have to explain your strengths and weaknesses. Use the </w:t>
      </w:r>
      <w:proofErr w:type="spellStart"/>
      <w:r>
        <w:rPr>
          <w:rFonts w:ascii="Times New Roman" w:eastAsia="Times New Roman" w:hAnsi="Times New Roman" w:cs="Times New Roman"/>
          <w:color w:val="000000"/>
          <w:sz w:val="22"/>
          <w:szCs w:val="22"/>
        </w:rPr>
        <w:t>abilitative</w:t>
      </w:r>
      <w:proofErr w:type="spellEnd"/>
      <w:r>
        <w:rPr>
          <w:rFonts w:ascii="Times New Roman" w:eastAsia="Times New Roman" w:hAnsi="Times New Roman" w:cs="Times New Roman"/>
          <w:color w:val="000000"/>
          <w:sz w:val="22"/>
          <w:szCs w:val="22"/>
        </w:rPr>
        <w:t xml:space="preserve"> throughout, and try to include at least 4 verbs in the caus</w:t>
      </w:r>
      <w:r>
        <w:rPr>
          <w:rFonts w:ascii="Times New Roman" w:eastAsia="Times New Roman" w:hAnsi="Times New Roman" w:cs="Times New Roman"/>
          <w:color w:val="000000"/>
          <w:sz w:val="22"/>
          <w:szCs w:val="22"/>
        </w:rPr>
        <w:t xml:space="preserve">ative. Write at least 10 lines. </w:t>
      </w:r>
    </w:p>
    <w:sectPr w:rsidR="00F228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22D"/>
    <w:multiLevelType w:val="multilevel"/>
    <w:tmpl w:val="055862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6D31F4"/>
    <w:multiLevelType w:val="multilevel"/>
    <w:tmpl w:val="55D66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92142F"/>
    <w:multiLevelType w:val="multilevel"/>
    <w:tmpl w:val="06A2C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702909"/>
    <w:multiLevelType w:val="multilevel"/>
    <w:tmpl w:val="F314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E7"/>
    <w:rsid w:val="00C171CF"/>
    <w:rsid w:val="00F228E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0902"/>
  <w15:docId w15:val="{44AAE0EC-92C4-4A04-8E8F-ABDB60C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yi-Heb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22F"/>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F122F"/>
    <w:rPr>
      <w:color w:val="0000FF"/>
      <w:u w:val="single"/>
    </w:rPr>
  </w:style>
  <w:style w:type="paragraph" w:styleId="ListParagraph">
    <w:name w:val="List Paragraph"/>
    <w:basedOn w:val="Normal"/>
    <w:uiPriority w:val="34"/>
    <w:qFormat/>
    <w:rsid w:val="003815E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171CF"/>
    <w:rPr>
      <w:color w:val="605E5C"/>
      <w:shd w:val="clear" w:color="auto" w:fill="E1DFDD"/>
    </w:rPr>
  </w:style>
  <w:style w:type="character" w:styleId="FollowedHyperlink">
    <w:name w:val="FollowedHyperlink"/>
    <w:basedOn w:val="DefaultParagraphFont"/>
    <w:uiPriority w:val="99"/>
    <w:semiHidden/>
    <w:unhideWhenUsed/>
    <w:rsid w:val="00C1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salalemi.com/ye-kurkum-y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qpWAd/0WGz3NyN7Y2HvAuIkfJA==">CgMxLjAyCGguZ2pkZ3hzOAByITFQTk00WG16dk4yMXp4ZVNNd0d0WlkteW5kY2IwU180Rw==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2949</Characters>
  <Application>Microsoft Office Word</Application>
  <DocSecurity>0</DocSecurity>
  <Lines>24</Lines>
  <Paragraphs>6</Paragraphs>
  <ScaleCrop>false</ScaleCrop>
  <Company>Amherst College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Culver</dc:creator>
  <cp:lastModifiedBy>Teofil Hull</cp:lastModifiedBy>
  <cp:revision>2</cp:revision>
  <dcterms:created xsi:type="dcterms:W3CDTF">2017-06-12T15:06:00Z</dcterms:created>
  <dcterms:modified xsi:type="dcterms:W3CDTF">2024-07-09T13:01:00Z</dcterms:modified>
</cp:coreProperties>
</file>