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rtl w:val="0"/>
        </w:rPr>
        <w:t xml:space="preserve">Five College Mentored Persian Study Guide 53 Supplement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Five College Center for World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Updated: August 2011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بزرگ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پرجمعیت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آذربایجان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مردم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آذری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گویند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مراکز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فرهنگ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پایتخت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حکومت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تاریخ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ازایلخانان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اسماعیل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صفوی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تاریخ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آزادی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پیروزی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انقلاب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شروطه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فداکاری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همچنین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پیروزی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انقلاب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اسلامی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ایفا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آذری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سخن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شاعران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آوازه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صائب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قطران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سرزمین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روستای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طبیعی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کوهستانی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زمستان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تابستان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خنک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زلزله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زلزله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مهیبی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کنونی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مردمان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ساختند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بزگترین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سرپوشیده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مشروطیت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مقبرة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انقلاب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اسلامی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تفریح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خانواده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امروزه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بزرگی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بلندای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تپه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منظره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bidi="ar-SA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5tU3Bt1OZ3gMlZ7iwmPvKanpw==">AMUW2mXtUhc4N9THM9JuIMT5w2zb7VdHD5x4AMSNulvKvVnkGiyeUGTEVfYoUey2H5xSK8VOzFl2rm87HFDHh7gJsNlTUjy9xQA7SXLiwxQtMhwHEmiY+uA=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2021-09-23T13:40:00Z</dcterms:created>
  <dc:creator>Fulbright</dc:creator>
</cp:coreProperties>
</file>